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B6BDC">
      <w:pPr>
        <w:numPr>
          <w:ilvl w:val="0"/>
          <w:numId w:val="0"/>
        </w:numPr>
        <w:spacing w:line="360" w:lineRule="auto"/>
        <w:ind w:leftChars="0"/>
        <w:jc w:val="center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  <w:t>附属第二幼儿园人工草坪采购项目清单及参数要求</w:t>
      </w:r>
    </w:p>
    <w:p w14:paraId="1C8B37AB">
      <w:pPr>
        <w:numPr>
          <w:ilvl w:val="0"/>
          <w:numId w:val="0"/>
        </w:numPr>
        <w:spacing w:line="360" w:lineRule="auto"/>
        <w:ind w:leftChars="0"/>
        <w:jc w:val="left"/>
        <w:outlineLvl w:val="0"/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val="en-US" w:eastAsia="zh-CN"/>
        </w:rPr>
        <w:t>一、人工草坪采购项目清单</w:t>
      </w:r>
      <w:bookmarkStart w:id="0" w:name="_GoBack"/>
      <w:bookmarkEnd w:id="0"/>
    </w:p>
    <w:tbl>
      <w:tblPr>
        <w:tblStyle w:val="4"/>
        <w:tblpPr w:leftFromText="180" w:rightFromText="180" w:vertAnchor="page" w:horzAnchor="page" w:tblpX="1700" w:tblpY="3051"/>
        <w:tblOverlap w:val="never"/>
        <w:tblW w:w="857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606"/>
        <w:gridCol w:w="706"/>
        <w:gridCol w:w="1111"/>
        <w:gridCol w:w="4282"/>
      </w:tblGrid>
      <w:tr w14:paraId="705F9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FE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A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8D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04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68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3DA6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19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59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人工草坪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BF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02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3A7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榕树下需覆土整平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按现场原有标高顺接，草坪边缘应固定牢固，不翘起、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翻卷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不积水。</w:t>
            </w:r>
          </w:p>
        </w:tc>
      </w:tr>
    </w:tbl>
    <w:p w14:paraId="6F2B221F">
      <w:pPr>
        <w:numPr>
          <w:ilvl w:val="0"/>
          <w:numId w:val="0"/>
        </w:numPr>
        <w:spacing w:line="360" w:lineRule="auto"/>
        <w:ind w:leftChars="0"/>
        <w:jc w:val="left"/>
        <w:outlineLvl w:val="0"/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val="en-US" w:eastAsia="zh-CN"/>
        </w:rPr>
      </w:pPr>
    </w:p>
    <w:p w14:paraId="4EA0CD5D">
      <w:pPr>
        <w:numPr>
          <w:ilvl w:val="0"/>
          <w:numId w:val="0"/>
        </w:numPr>
        <w:spacing w:line="360" w:lineRule="auto"/>
        <w:ind w:leftChars="0"/>
        <w:jc w:val="left"/>
        <w:outlineLvl w:val="0"/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val="en-US" w:eastAsia="zh-CN"/>
        </w:rPr>
        <w:t>二、人工草坪规格要求和参数要求</w:t>
      </w:r>
    </w:p>
    <w:p w14:paraId="0FB64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  <w:t>1.人工草坪化学性能应满足GB36246-2018《中小学合成材料面层运动场地》下表内容（须提供检测报告复印件佐证）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4006"/>
        <w:gridCol w:w="1341"/>
        <w:gridCol w:w="1235"/>
      </w:tblGrid>
      <w:tr w14:paraId="5AA26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A57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检验检测项目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B9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7F4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技术要求</w:t>
            </w:r>
          </w:p>
        </w:tc>
      </w:tr>
      <w:tr w14:paraId="0FAD74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93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有害物质含量</w:t>
            </w:r>
          </w:p>
        </w:tc>
        <w:tc>
          <w:tcPr>
            <w:tcW w:w="4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78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3种邻苯二甲酸酯类化合物（DBP、BBP、DEHP）总和</w:t>
            </w:r>
          </w:p>
        </w:tc>
        <w:tc>
          <w:tcPr>
            <w:tcW w:w="13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BB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g/kg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19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≤1.0</w:t>
            </w:r>
          </w:p>
        </w:tc>
      </w:tr>
      <w:tr w14:paraId="420D5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CB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B7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3种邻苯二甲酸酯类化合物（DNOP、DINP、DIDP）总和</w:t>
            </w:r>
          </w:p>
        </w:tc>
        <w:tc>
          <w:tcPr>
            <w:tcW w:w="1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88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06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≤1.0</w:t>
            </w:r>
          </w:p>
        </w:tc>
      </w:tr>
      <w:tr w14:paraId="545016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87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BB8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18种多环芳烃总和</w:t>
            </w:r>
          </w:p>
        </w:tc>
        <w:tc>
          <w:tcPr>
            <w:tcW w:w="13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59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mg/kg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F5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≤50</w:t>
            </w:r>
          </w:p>
        </w:tc>
      </w:tr>
      <w:tr w14:paraId="421B65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30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E2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苯并[a]芘</w:t>
            </w:r>
          </w:p>
        </w:tc>
        <w:tc>
          <w:tcPr>
            <w:tcW w:w="1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51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FF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≤1</w:t>
            </w:r>
          </w:p>
        </w:tc>
      </w:tr>
      <w:tr w14:paraId="7DF9EF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77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B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可溶性铅</w:t>
            </w:r>
          </w:p>
        </w:tc>
        <w:tc>
          <w:tcPr>
            <w:tcW w:w="1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65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5F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≤50</w:t>
            </w:r>
          </w:p>
        </w:tc>
      </w:tr>
      <w:tr w14:paraId="30BC7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E2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229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可溶性铬</w:t>
            </w:r>
          </w:p>
        </w:tc>
        <w:tc>
          <w:tcPr>
            <w:tcW w:w="1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A5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CFB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≤10</w:t>
            </w:r>
          </w:p>
        </w:tc>
      </w:tr>
      <w:tr w14:paraId="07C654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B1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79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可溶性镉</w:t>
            </w:r>
          </w:p>
        </w:tc>
        <w:tc>
          <w:tcPr>
            <w:tcW w:w="1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4B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73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≤10</w:t>
            </w:r>
          </w:p>
        </w:tc>
      </w:tr>
      <w:tr w14:paraId="59FB3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FA5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A8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可溶性汞</w:t>
            </w:r>
          </w:p>
        </w:tc>
        <w:tc>
          <w:tcPr>
            <w:tcW w:w="1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7B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29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≤2</w:t>
            </w:r>
          </w:p>
        </w:tc>
      </w:tr>
      <w:tr w14:paraId="13223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37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有害物质释放量</w:t>
            </w:r>
          </w:p>
        </w:tc>
        <w:tc>
          <w:tcPr>
            <w:tcW w:w="4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D1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总挥发性有机化合物（TVOC）</w:t>
            </w:r>
          </w:p>
        </w:tc>
        <w:tc>
          <w:tcPr>
            <w:tcW w:w="13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70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mg/（㎡▪h）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33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≤5.0</w:t>
            </w:r>
          </w:p>
        </w:tc>
      </w:tr>
      <w:tr w14:paraId="25871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AC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3F0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甲醛</w:t>
            </w:r>
          </w:p>
        </w:tc>
        <w:tc>
          <w:tcPr>
            <w:tcW w:w="1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8A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6C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≤0.4</w:t>
            </w:r>
          </w:p>
        </w:tc>
      </w:tr>
      <w:tr w14:paraId="781FF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D2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45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苯</w:t>
            </w:r>
          </w:p>
        </w:tc>
        <w:tc>
          <w:tcPr>
            <w:tcW w:w="1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65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A5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≤0.1</w:t>
            </w:r>
          </w:p>
        </w:tc>
      </w:tr>
      <w:tr w14:paraId="6ED486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21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A5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甲苯、二甲苯和乙苯总和</w:t>
            </w:r>
          </w:p>
        </w:tc>
        <w:tc>
          <w:tcPr>
            <w:tcW w:w="1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4A4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FE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≤1.0</w:t>
            </w:r>
          </w:p>
        </w:tc>
      </w:tr>
    </w:tbl>
    <w:p w14:paraId="33A34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  <w:t>2. 25mm直曲混织草坪技术参数</w:t>
      </w:r>
    </w:p>
    <w:tbl>
      <w:tblPr>
        <w:tblStyle w:val="4"/>
        <w:tblW w:w="501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6"/>
        <w:gridCol w:w="5520"/>
      </w:tblGrid>
      <w:tr w14:paraId="7E26D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0E861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草丝形状及编织工艺</w:t>
            </w:r>
          </w:p>
        </w:tc>
        <w:tc>
          <w:tcPr>
            <w:tcW w:w="3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760EE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挤出高弹性耐磨PE材质直单丝与</w:t>
            </w:r>
            <w:r>
              <w:rPr>
                <w:rStyle w:val="9"/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PE</w:t>
            </w: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材质卷曲丝不包纱簇绒编织</w:t>
            </w:r>
          </w:p>
        </w:tc>
      </w:tr>
      <w:tr w14:paraId="6A043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35C5E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草丝颜色</w:t>
            </w:r>
          </w:p>
        </w:tc>
        <w:tc>
          <w:tcPr>
            <w:tcW w:w="3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07FCF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双色（直单丝翠柠各半）或单丝翠绿</w:t>
            </w:r>
          </w:p>
        </w:tc>
      </w:tr>
      <w:tr w14:paraId="01097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1E277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底布走针方式</w:t>
            </w:r>
          </w:p>
        </w:tc>
        <w:tc>
          <w:tcPr>
            <w:tcW w:w="3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70863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簇绒法一形走针</w:t>
            </w:r>
          </w:p>
        </w:tc>
      </w:tr>
      <w:tr w14:paraId="69987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33C73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草纤维磅重（dtex）</w:t>
            </w:r>
          </w:p>
        </w:tc>
        <w:tc>
          <w:tcPr>
            <w:tcW w:w="3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71FFD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Dtex</w:t>
            </w: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12000</w:t>
            </w:r>
          </w:p>
        </w:tc>
      </w:tr>
      <w:tr w14:paraId="3A45C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27AEC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草高（不含底布高度）</w:t>
            </w:r>
          </w:p>
        </w:tc>
        <w:tc>
          <w:tcPr>
            <w:tcW w:w="3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44DF2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25±1mm</w:t>
            </w:r>
          </w:p>
        </w:tc>
      </w:tr>
      <w:tr w14:paraId="52122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673C9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行距</w:t>
            </w:r>
          </w:p>
        </w:tc>
        <w:tc>
          <w:tcPr>
            <w:tcW w:w="3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17A87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/</w:t>
            </w:r>
            <w:r>
              <w:rPr>
                <w:rStyle w:val="9"/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8</w:t>
            </w: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英寸</w:t>
            </w:r>
          </w:p>
        </w:tc>
      </w:tr>
      <w:tr w14:paraId="1BCA4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6E56C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织距</w:t>
            </w:r>
          </w:p>
        </w:tc>
        <w:tc>
          <w:tcPr>
            <w:tcW w:w="3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48062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不低于20针/10cm</w:t>
            </w:r>
          </w:p>
        </w:tc>
      </w:tr>
      <w:tr w14:paraId="6C998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36AB6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密度</w:t>
            </w:r>
          </w:p>
        </w:tc>
        <w:tc>
          <w:tcPr>
            <w:tcW w:w="3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40366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不低于21000针/㎡</w:t>
            </w:r>
          </w:p>
        </w:tc>
      </w:tr>
      <w:tr w14:paraId="71BDC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3C813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底布材质</w:t>
            </w:r>
          </w:p>
        </w:tc>
        <w:tc>
          <w:tcPr>
            <w:tcW w:w="3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15E18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双层网格底布</w:t>
            </w:r>
          </w:p>
        </w:tc>
      </w:tr>
      <w:tr w14:paraId="2127E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0C52C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背胶</w:t>
            </w:r>
          </w:p>
        </w:tc>
        <w:tc>
          <w:tcPr>
            <w:tcW w:w="3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07B30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default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环保丁苯乳胶</w:t>
            </w:r>
          </w:p>
        </w:tc>
      </w:tr>
      <w:tr w14:paraId="1A3B5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0A809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卷宽</w:t>
            </w:r>
          </w:p>
        </w:tc>
        <w:tc>
          <w:tcPr>
            <w:tcW w:w="3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079A3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4米或2米（卷长：按场地实际需要）</w:t>
            </w:r>
          </w:p>
        </w:tc>
      </w:tr>
    </w:tbl>
    <w:p w14:paraId="76E46237">
      <w:pPr>
        <w:adjustRightInd w:val="0"/>
        <w:spacing w:line="400" w:lineRule="exact"/>
        <w:jc w:val="left"/>
        <w:outlineLvl w:val="0"/>
        <w:rPr>
          <w:rFonts w:hint="eastAsia" w:ascii="宋体"/>
          <w:b/>
          <w:bCs/>
          <w:sz w:val="24"/>
          <w:lang w:val="en-US" w:eastAsia="zh-CN"/>
        </w:rPr>
      </w:pPr>
    </w:p>
    <w:p w14:paraId="2729ACB1">
      <w:pPr>
        <w:numPr>
          <w:ilvl w:val="0"/>
          <w:numId w:val="0"/>
        </w:numPr>
        <w:spacing w:line="360" w:lineRule="auto"/>
        <w:ind w:leftChars="0"/>
        <w:jc w:val="left"/>
        <w:outlineLvl w:val="0"/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val="en-US" w:eastAsia="zh-CN"/>
        </w:rPr>
        <w:t>三、技术参数要求</w:t>
      </w:r>
    </w:p>
    <w:p w14:paraId="12111965">
      <w:pPr>
        <w:keepNext w:val="0"/>
        <w:keepLines w:val="0"/>
        <w:widowControl/>
        <w:suppressLineNumbers w:val="0"/>
        <w:spacing w:line="360" w:lineRule="auto"/>
        <w:jc w:val="left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本项目人工草坪所有技术参数、老化测试、环保指标、力学性能、安全性能须全部满足以下标准，供应商须提供具备CMA资质的第三方检测机构出具的有效检测报告（复印件加盖投标人公章），并附全国认证认可信息公共服务平台（http://cx.cnca.cn）查询截图，否则视为无效响应。所有检测依据标准：GB/T 20394-2019、GB 36246-2018、QB/T 5591-2021、GB/T 14833-2020、GB/T 43566-2023。</w:t>
      </w:r>
    </w:p>
    <w:p w14:paraId="168AAEDC">
      <w:pPr>
        <w:keepNext w:val="0"/>
        <w:keepLines w:val="0"/>
        <w:widowControl/>
        <w:suppressLineNumbers w:val="0"/>
        <w:spacing w:line="360" w:lineRule="auto"/>
        <w:jc w:val="left"/>
        <w:rPr>
          <w:sz w:val="24"/>
          <w:szCs w:val="24"/>
        </w:rPr>
      </w:pP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1. 环保性能要求</w:t>
      </w:r>
    </w:p>
    <w:p w14:paraId="1EAFB782">
      <w:pPr>
        <w:keepNext w:val="0"/>
        <w:keepLines w:val="0"/>
        <w:widowControl/>
        <w:suppressLineNumbers w:val="0"/>
        <w:spacing w:line="360" w:lineRule="auto"/>
        <w:jc w:val="left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产品经氙灯老化168h+雨水老化（3%乙酸、40℃）168h+高低温循环老化7次（单次循环：60℃/12h、常温1h、-40℃/12h）、耐酸性（30%H₂SO₄，168h）、耐碱性（20%Na₂CO₃，168h）测试后，TVOC、甲醛、苯乙烯、4-苯基环己烯及可迁移元素锑（Sb）、砷（As）、钡（Ba）、镉（Cd）、铬（Cr）、铅（Pb）、汞（Hg）、硒（Se）均为未检出；耐酸、耐碱性能判定合格。须提供对应CMA检测报告及官网查询截图佐证。</w:t>
      </w:r>
    </w:p>
    <w:p w14:paraId="0631DA8E">
      <w:pPr>
        <w:keepNext w:val="0"/>
        <w:keepLines w:val="0"/>
        <w:widowControl/>
        <w:suppressLineNumbers w:val="0"/>
        <w:spacing w:line="360" w:lineRule="auto"/>
        <w:jc w:val="left"/>
        <w:rPr>
          <w:sz w:val="24"/>
          <w:szCs w:val="24"/>
        </w:rPr>
      </w:pP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2. 力学拉拔与底布强度性能要求</w:t>
      </w:r>
    </w:p>
    <w:p w14:paraId="2DF77DD1">
      <w:pPr>
        <w:keepNext w:val="0"/>
        <w:keepLines w:val="0"/>
        <w:widowControl/>
        <w:suppressLineNumbers w:val="0"/>
        <w:spacing w:line="360" w:lineRule="auto"/>
        <w:jc w:val="left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原始性能：草丝拉断力≥13N，单簇草丝拔出力≥43N，底布纵向拉断力≥1200N，底布横向拉断力≥1250N。经氙灯老化168h+雨水老化168h+高低温7次循环老化后，性能指标需满足：草丝色牢度≥7级，草丝拉断力保留率≥90%，单簇草丝拔出力保留率≥97.5%，底布纵向拉断力保留率≥97%，底布横向拉断力保留率≥97%；热水浸泡后单簇草丝拔出力≥38N，背胶无脱胶、掉色、开裂现象。须提供对应CMA检测报告及官网查询截图佐证。</w:t>
      </w:r>
    </w:p>
    <w:p w14:paraId="24194CC1">
      <w:pPr>
        <w:keepNext w:val="0"/>
        <w:keepLines w:val="0"/>
        <w:widowControl/>
        <w:suppressLineNumbers w:val="0"/>
        <w:spacing w:line="360" w:lineRule="auto"/>
        <w:jc w:val="left"/>
        <w:rPr>
          <w:sz w:val="24"/>
          <w:szCs w:val="24"/>
        </w:rPr>
      </w:pP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3. 防滑、拉伸与尺寸稳定性能要求</w:t>
      </w:r>
    </w:p>
    <w:p w14:paraId="3BFCD0F3">
      <w:pPr>
        <w:keepNext w:val="0"/>
        <w:keepLines w:val="0"/>
        <w:widowControl/>
        <w:suppressLineNumbers w:val="0"/>
        <w:spacing w:line="360" w:lineRule="auto"/>
        <w:jc w:val="left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产品原始拉伸强度≥11MPa；经氙灯老化500h+雨水老化500h+高低温20次循环老化后，抗滑值≥84BPN，拉断伸长率≥44%，阻燃性能达到Ⅰ级，拉伸强度保留率≥85%，纵向、横向尺寸稳定性≤0.5%，所有指标检测合格。须提供对应CMA检测报告及官网查询截图佐证。</w:t>
      </w:r>
    </w:p>
    <w:p w14:paraId="08DC6BFA">
      <w:pPr>
        <w:keepNext w:val="0"/>
        <w:keepLines w:val="0"/>
        <w:widowControl/>
        <w:suppressLineNumbers w:val="0"/>
        <w:spacing w:line="360" w:lineRule="auto"/>
        <w:jc w:val="left"/>
        <w:rPr>
          <w:sz w:val="24"/>
          <w:szCs w:val="24"/>
        </w:rPr>
      </w:pP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4. 老化后运动性能、物理性能要求</w:t>
      </w:r>
    </w:p>
    <w:p w14:paraId="616B98BF">
      <w:pPr>
        <w:keepNext w:val="0"/>
        <w:keepLines w:val="0"/>
        <w:widowControl/>
        <w:suppressLineNumbers w:val="0"/>
        <w:spacing w:line="360" w:lineRule="auto"/>
        <w:jc w:val="left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产品经氙灯老化500h+耐酸（30%硫酸）500h+耐碱（20%碳酸钠）500h+常温常湿（23℃、湿度50%）500h+高温（90℃、湿度5%）500h+低温（-40℃、湿度5%）500h综合老化后，需满足：冲击吸收50%～55%，垂直变形6～8mm，阻燃损毁边缘最大距离≤45mm，表面抗静电阻值9×10⁸Ω～1×10⁹Ω，拉伸强度≥700N/100mm，剥离强度≥90N/100mm，渗水速率≥200mm/h。须提供对应CMA检测报告及官网查询截图佐证。</w:t>
      </w:r>
    </w:p>
    <w:p w14:paraId="44CAD366">
      <w:pPr>
        <w:keepNext w:val="0"/>
        <w:keepLines w:val="0"/>
        <w:widowControl/>
        <w:suppressLineNumbers w:val="0"/>
        <w:spacing w:line="360" w:lineRule="auto"/>
        <w:jc w:val="left"/>
        <w:rPr>
          <w:sz w:val="24"/>
          <w:szCs w:val="24"/>
        </w:rPr>
      </w:pP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5. 阻燃、耐磨及表面电阻性能要求</w:t>
      </w:r>
    </w:p>
    <w:p w14:paraId="7A784415">
      <w:pPr>
        <w:keepNext w:val="0"/>
        <w:keepLines w:val="0"/>
        <w:widowControl/>
        <w:suppressLineNumbers w:val="0"/>
        <w:spacing w:line="360" w:lineRule="auto"/>
        <w:jc w:val="left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产品原始阻燃性能：中心至损毁边缘最大距离≤45mm；经氙灯老化168h+雨水老化168h+高低温7次循环老化后，草丝耐磨保留率≥98%，阻燃损毁边缘最大距离≤46mm，表面电阻检测合格。须提供对应CMA检测报告及官网查询截图佐证。</w:t>
      </w:r>
    </w:p>
    <w:p w14:paraId="280A50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 xml:space="preserve">四、其他服务要求 </w:t>
      </w:r>
    </w:p>
    <w:p w14:paraId="61398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  <w:t>1. 工期要求：合同签订生效后，成交供应商自采购人发出进场施工通知之日起 7 个工作日内，完成场地平整、人工草坪供货运输、铺设施工及现场保洁清运等全部工作，施工质量须符合招标文件及相关验收规范，达到竣工验收标准。</w:t>
      </w:r>
    </w:p>
    <w:p w14:paraId="13E34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  <w:t xml:space="preserve">2. 安全责任：成交供应商为本项目全过程施工安全第一责任主体，全面负责物料转运、铺装施工各环节安全管理。施工期间发生任何人身伤害、财产损毁等安全事故，全部赔偿费用、法律责任及善后事宜均由成交供应商自行承担，采购人不承担连带责任。 </w:t>
      </w:r>
    </w:p>
    <w:p w14:paraId="0E63A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  <w:t>3.场地保洁清运：草坪铺设施工全部完工后，成交供应商须对施工区域全面清扫，清理所有包装废料、建筑垃圾，并将废弃物统一清运离场，恢复场地整洁，保洁清运完成后方可提请验收。</w:t>
      </w:r>
    </w:p>
    <w:sectPr>
      <w:pgSz w:w="11906" w:h="16838"/>
      <w:pgMar w:top="1440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44BD766A-BE16-4DF1-8A23-49FD02BAFAA7}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  <w:embedRegular r:id="rId2" w:fontKey="{1AB29339-6609-434B-B2AB-0BD995924C0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495B17"/>
    <w:rsid w:val="02F278C0"/>
    <w:rsid w:val="04CE66EF"/>
    <w:rsid w:val="0B5F4AD1"/>
    <w:rsid w:val="0C781806"/>
    <w:rsid w:val="0DBE2B84"/>
    <w:rsid w:val="0F7D38B3"/>
    <w:rsid w:val="18622656"/>
    <w:rsid w:val="190839A1"/>
    <w:rsid w:val="1B792B7F"/>
    <w:rsid w:val="1EC7512B"/>
    <w:rsid w:val="227635D6"/>
    <w:rsid w:val="2A1717F4"/>
    <w:rsid w:val="2FA56339"/>
    <w:rsid w:val="30134B5A"/>
    <w:rsid w:val="3E495B17"/>
    <w:rsid w:val="3F975EA3"/>
    <w:rsid w:val="405A0974"/>
    <w:rsid w:val="40C46D1F"/>
    <w:rsid w:val="410C455A"/>
    <w:rsid w:val="41362456"/>
    <w:rsid w:val="424D3B3D"/>
    <w:rsid w:val="47272655"/>
    <w:rsid w:val="4A95343C"/>
    <w:rsid w:val="4E663DE0"/>
    <w:rsid w:val="5016387D"/>
    <w:rsid w:val="52595FA5"/>
    <w:rsid w:val="54606C0D"/>
    <w:rsid w:val="55CF25EF"/>
    <w:rsid w:val="572A7F10"/>
    <w:rsid w:val="609C2EF1"/>
    <w:rsid w:val="61CF617C"/>
    <w:rsid w:val="67C75C7F"/>
    <w:rsid w:val="68DB7072"/>
    <w:rsid w:val="6B235756"/>
    <w:rsid w:val="6ECA57CB"/>
    <w:rsid w:val="6EF90CB1"/>
    <w:rsid w:val="76510A3F"/>
    <w:rsid w:val="7B94561E"/>
    <w:rsid w:val="7E1E4289"/>
    <w:rsid w:val="7E6943A5"/>
    <w:rsid w:val="7EB916CE"/>
    <w:rsid w:val="ABBED2AA"/>
    <w:rsid w:val="F9D1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8">
    <w:name w:val="font41"/>
    <w:basedOn w:val="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9">
    <w:name w:val="font51"/>
    <w:basedOn w:val="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81"/>
    <w:basedOn w:val="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bscript"/>
    </w:rPr>
  </w:style>
  <w:style w:type="character" w:customStyle="1" w:styleId="11">
    <w:name w:val="标题 1 字符"/>
    <w:basedOn w:val="5"/>
    <w:link w:val="2"/>
    <w:qFormat/>
    <w:uiPriority w:val="0"/>
    <w:rPr>
      <w:b/>
      <w:kern w:val="44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1689</Words>
  <Characters>2073</Characters>
  <Lines>0</Lines>
  <Paragraphs>0</Paragraphs>
  <TotalTime>5</TotalTime>
  <ScaleCrop>false</ScaleCrop>
  <LinksUpToDate>false</LinksUpToDate>
  <CharactersWithSpaces>2090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2026-03-13T16:35:00Z</dcterms:created>
  <dc:creator>.</dc:creator>
  <cp:lastModifiedBy>凤舞黄沙</cp:lastModifiedBy>
  <dcterms:modified xsi:type="dcterms:W3CDTF">2026-07-22T06:30:10Z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05241231A17D4E749F3590199F8CD4B3_13</vt:lpwstr>
  </property>
  <property fmtid="{D5CDD505-2E9C-101B-9397-08002B2CF9AE}" pid="4" name="KSOTemplateDocerSaveRecord">
    <vt:lpwstr>eyJoZGlkIjoiZGRlNWU2NjE4NDg2ZDMxMDVjM2FiNzdlYmU5MThkNTUiLCJ1c2VySWQiOiI1NDIyODk0NjQifQ==</vt:lpwstr>
  </property>
</Properties>
</file>